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7A2E" w14:textId="77777777" w:rsidR="00F87219" w:rsidRDefault="00F87219" w:rsidP="00F87219">
      <w:pPr>
        <w:pStyle w:val="NoSpacing"/>
        <w:spacing w:line="360" w:lineRule="auto"/>
        <w:ind w:left="720"/>
        <w:jc w:val="center"/>
        <w:rPr>
          <w:rFonts w:ascii="Times New Roman" w:hAnsi="Times New Roman"/>
          <w:b/>
          <w:bCs/>
          <w:color w:val="FFFFFF" w:themeColor="background1"/>
          <w:sz w:val="50"/>
          <w:szCs w:val="50"/>
        </w:rPr>
      </w:pPr>
      <w:r w:rsidRPr="004548A4">
        <w:rPr>
          <w:rFonts w:ascii="Times New Roman" w:hAnsi="Times New Roman"/>
          <w:b/>
          <w:bCs/>
          <w:color w:val="FFFFFF" w:themeColor="background1"/>
          <w:sz w:val="50"/>
          <w:szCs w:val="50"/>
          <w:highlight w:val="black"/>
        </w:rPr>
        <w:t>Project Mgt Professional (PMP)</w:t>
      </w:r>
    </w:p>
    <w:p w14:paraId="4222FCC5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SOUTECH PMP® training is aligned with the new syllabus and exam structure 2021. It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is designed to ensure that you clear the PMP® exam in the first attempt.</w:t>
      </w:r>
    </w:p>
    <w:p w14:paraId="5347E509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Our hands-on training approach, entrusted by many learners, will help you to imbibe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the workings of the 5 Process groups and 10 knowledge areas as prescribed by PMI®.</w:t>
      </w:r>
    </w:p>
    <w:p w14:paraId="082A7173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We guarantee that you’ll walk away with all the preparation and confidence you need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 xml:space="preserve">to conquer the exam and earn the PMP® certification. The training is </w:t>
      </w:r>
      <w:proofErr w:type="spellStart"/>
      <w:r w:rsidRPr="004548A4">
        <w:rPr>
          <w:rFonts w:ascii="Times New Roman" w:hAnsi="Times New Roman"/>
          <w:sz w:val="36"/>
          <w:szCs w:val="36"/>
        </w:rPr>
        <w:t>inline</w:t>
      </w:r>
      <w:proofErr w:type="spellEnd"/>
      <w:r w:rsidRPr="004548A4">
        <w:rPr>
          <w:rFonts w:ascii="Times New Roman" w:hAnsi="Times New Roman"/>
          <w:sz w:val="36"/>
          <w:szCs w:val="36"/>
        </w:rPr>
        <w:t xml:space="preserve"> with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PMBOK 6/7.</w:t>
      </w:r>
    </w:p>
    <w:p w14:paraId="5F4F00D2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The Project Management Professional Training is a very important training for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everyone and all business and career professionals that want to learn how to deliver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on projects within scope, quality, budget, time, resources and within the constraint of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their environment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Our PMP Training is a comprehensive bundle which not only guarantees your exam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 xml:space="preserve">success but also makes you a robust </w:t>
      </w:r>
      <w:r w:rsidRPr="004548A4">
        <w:rPr>
          <w:rFonts w:ascii="Times New Roman" w:hAnsi="Times New Roman"/>
          <w:b/>
          <w:bCs/>
          <w:sz w:val="36"/>
          <w:szCs w:val="36"/>
        </w:rPr>
        <w:t>Project Manager.</w:t>
      </w:r>
    </w:p>
    <w:p w14:paraId="74DF7365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It includes:</w:t>
      </w:r>
    </w:p>
    <w:p w14:paraId="3B5AD43D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-Training on Project Management Professional (PMP)</w:t>
      </w:r>
    </w:p>
    <w:p w14:paraId="268D0D64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-Free Exam Prep resources</w:t>
      </w:r>
    </w:p>
    <w:p w14:paraId="0C477805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-Use of MS Project 2016</w:t>
      </w:r>
    </w:p>
    <w:p w14:paraId="2CD3FE42" w14:textId="12576B3B" w:rsidR="00F87219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</w:p>
    <w:p w14:paraId="3EB98183" w14:textId="77777777" w:rsidR="00F87219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</w:p>
    <w:p w14:paraId="5BCDE46B" w14:textId="3B150560" w:rsidR="00F87219" w:rsidRPr="00F87219" w:rsidRDefault="00F87219" w:rsidP="00F87219">
      <w:pPr>
        <w:pStyle w:val="NoSpacing"/>
        <w:spacing w:line="360" w:lineRule="auto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F87219">
        <w:rPr>
          <w:rFonts w:ascii="Times New Roman" w:hAnsi="Times New Roman"/>
          <w:b/>
          <w:bCs/>
          <w:sz w:val="36"/>
          <w:szCs w:val="36"/>
        </w:rPr>
        <w:lastRenderedPageBreak/>
        <w:t>COURSE SYLLABUS</w:t>
      </w:r>
    </w:p>
    <w:p w14:paraId="04C0D0C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b/>
          <w:bCs/>
          <w:sz w:val="36"/>
          <w:szCs w:val="36"/>
        </w:rPr>
      </w:pPr>
      <w:r w:rsidRPr="004548A4">
        <w:rPr>
          <w:rFonts w:ascii="Times New Roman" w:hAnsi="Times New Roman"/>
          <w:b/>
          <w:bCs/>
          <w:sz w:val="36"/>
          <w:szCs w:val="36"/>
        </w:rPr>
        <w:t>Module 1 Business Environment (Exam Domain III)</w:t>
      </w:r>
    </w:p>
    <w:p w14:paraId="741688C8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management concepts</w:t>
      </w:r>
    </w:p>
    <w:p w14:paraId="1F8A51B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Life Cycles, Phases and Process Groups</w:t>
      </w:r>
    </w:p>
    <w:p w14:paraId="186E03CC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Benefits and Value</w:t>
      </w:r>
    </w:p>
    <w:p w14:paraId="4F945790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-Compliance</w:t>
      </w:r>
    </w:p>
    <w:p w14:paraId="08F020D5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-Change Management</w:t>
      </w:r>
    </w:p>
    <w:p w14:paraId="7F2845F8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-External Business Environment Changes</w:t>
      </w:r>
    </w:p>
    <w:p w14:paraId="47113CF2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b/>
          <w:bCs/>
          <w:sz w:val="36"/>
          <w:szCs w:val="36"/>
        </w:rPr>
      </w:pPr>
      <w:r w:rsidRPr="004548A4">
        <w:rPr>
          <w:rFonts w:ascii="Times New Roman" w:hAnsi="Times New Roman"/>
          <w:b/>
          <w:bCs/>
          <w:sz w:val="36"/>
          <w:szCs w:val="36"/>
        </w:rPr>
        <w:t>Module 2 People (Exam Domain I)</w:t>
      </w:r>
    </w:p>
    <w:p w14:paraId="7B5BE182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Manager Role</w:t>
      </w:r>
    </w:p>
    <w:p w14:paraId="0EE73104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-Forming—The Project Manager</w:t>
      </w:r>
    </w:p>
    <w:p w14:paraId="5650126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-Storming</w:t>
      </w:r>
    </w:p>
    <w:p w14:paraId="58E01E10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-Norming</w:t>
      </w:r>
    </w:p>
    <w:p w14:paraId="28EE41AD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-Performing</w:t>
      </w:r>
    </w:p>
    <w:p w14:paraId="575A58F9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-Adjourning</w:t>
      </w:r>
    </w:p>
    <w:p w14:paraId="40141B1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b/>
          <w:bCs/>
          <w:sz w:val="36"/>
          <w:szCs w:val="36"/>
        </w:rPr>
      </w:pPr>
      <w:r w:rsidRPr="004548A4">
        <w:rPr>
          <w:rFonts w:ascii="Times New Roman" w:hAnsi="Times New Roman"/>
          <w:b/>
          <w:bCs/>
          <w:sz w:val="36"/>
          <w:szCs w:val="36"/>
        </w:rPr>
        <w:t>Module 3 Process – Design (Exam Domain II)</w:t>
      </w:r>
    </w:p>
    <w:p w14:paraId="5E609BB2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-Governance Structure</w:t>
      </w:r>
    </w:p>
    <w:p w14:paraId="3B41E10B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-Incremental Value</w:t>
      </w:r>
    </w:p>
    <w:p w14:paraId="6963339E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Methodology and Knowledge Areas</w:t>
      </w:r>
    </w:p>
    <w:p w14:paraId="1DC01F53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-Agile and Hybrid Project Methodologies</w:t>
      </w:r>
    </w:p>
    <w:p w14:paraId="6E7E6E58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Artifacts</w:t>
      </w:r>
    </w:p>
    <w:p w14:paraId="035C12D8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-Data Gathering and Analysis</w:t>
      </w:r>
    </w:p>
    <w:p w14:paraId="7E4B9918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Integration Overview</w:t>
      </w:r>
    </w:p>
    <w:p w14:paraId="353D2980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lastRenderedPageBreak/>
        <w:t>-Project Integration Knowledge Areas</w:t>
      </w:r>
    </w:p>
    <w:p w14:paraId="066DF00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b/>
          <w:bCs/>
          <w:sz w:val="36"/>
          <w:szCs w:val="36"/>
        </w:rPr>
      </w:pPr>
      <w:r w:rsidRPr="004548A4">
        <w:rPr>
          <w:rFonts w:ascii="Times New Roman" w:hAnsi="Times New Roman"/>
          <w:b/>
          <w:bCs/>
          <w:sz w:val="36"/>
          <w:szCs w:val="36"/>
        </w:rPr>
        <w:t>Module 4 Process – Constraints (Exam Domain II)</w:t>
      </w:r>
    </w:p>
    <w:p w14:paraId="429E6F9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Scope Management</w:t>
      </w:r>
    </w:p>
    <w:p w14:paraId="532D053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Schedule Management</w:t>
      </w:r>
    </w:p>
    <w:p w14:paraId="012F1D9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Cost Management</w:t>
      </w:r>
    </w:p>
    <w:p w14:paraId="078F5D03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Resources Management</w:t>
      </w:r>
    </w:p>
    <w:p w14:paraId="21EFFB2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Quality Management</w:t>
      </w:r>
    </w:p>
    <w:p w14:paraId="0E83F6C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Procurement Management</w:t>
      </w:r>
    </w:p>
    <w:p w14:paraId="77A00BEB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-Project Risk Management</w:t>
      </w:r>
    </w:p>
    <w:p w14:paraId="51F63F14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b/>
          <w:bCs/>
          <w:sz w:val="36"/>
          <w:szCs w:val="36"/>
        </w:rPr>
      </w:pPr>
      <w:r w:rsidRPr="004548A4">
        <w:rPr>
          <w:rFonts w:ascii="Times New Roman" w:hAnsi="Times New Roman"/>
          <w:b/>
          <w:bCs/>
          <w:sz w:val="36"/>
          <w:szCs w:val="36"/>
        </w:rPr>
        <w:t>Module 5 Process – Managing and Closing (Exam Domain II)</w:t>
      </w:r>
    </w:p>
    <w:p w14:paraId="6EDEB881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-Change Control</w:t>
      </w:r>
    </w:p>
    <w:p w14:paraId="71592FAF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-Stakeholder Engagement</w:t>
      </w:r>
    </w:p>
    <w:p w14:paraId="0587527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-Communications</w:t>
      </w:r>
    </w:p>
    <w:p w14:paraId="3373B636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-Knowledge Transfer</w:t>
      </w:r>
    </w:p>
    <w:p w14:paraId="79220FAE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-Basic Use of MS Project 2016 software</w:t>
      </w:r>
    </w:p>
    <w:p w14:paraId="2AC06CCA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Mock Exam and Certification guides, exam dumps, digital learning materials for exam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prep.</w:t>
      </w:r>
    </w:p>
    <w:p w14:paraId="331A4E7C" w14:textId="77777777" w:rsidR="00F87219" w:rsidRPr="004548A4" w:rsidRDefault="00F87219" w:rsidP="00F87219">
      <w:pPr>
        <w:pStyle w:val="NoSpacing"/>
        <w:spacing w:line="360" w:lineRule="auto"/>
        <w:ind w:left="720"/>
        <w:rPr>
          <w:rFonts w:ascii="Times New Roman" w:hAnsi="Times New Roman"/>
          <w:sz w:val="36"/>
          <w:szCs w:val="36"/>
        </w:rPr>
      </w:pPr>
      <w:r w:rsidRPr="004548A4">
        <w:rPr>
          <w:rFonts w:ascii="Times New Roman" w:hAnsi="Times New Roman"/>
          <w:sz w:val="36"/>
          <w:szCs w:val="36"/>
        </w:rPr>
        <w:t>We are confident that these procedures will enable you to pass the exam in one sitting</w:t>
      </w:r>
      <w:r>
        <w:rPr>
          <w:rFonts w:ascii="Times New Roman" w:hAnsi="Times New Roman"/>
          <w:sz w:val="36"/>
          <w:szCs w:val="36"/>
        </w:rPr>
        <w:t xml:space="preserve"> </w:t>
      </w:r>
      <w:r w:rsidRPr="004548A4">
        <w:rPr>
          <w:rFonts w:ascii="Times New Roman" w:hAnsi="Times New Roman"/>
          <w:sz w:val="36"/>
          <w:szCs w:val="36"/>
        </w:rPr>
        <w:t>or carry out projects within your organization or enterprise</w:t>
      </w:r>
    </w:p>
    <w:p w14:paraId="6C99C0B1" w14:textId="77777777" w:rsidR="006A0D98" w:rsidRDefault="006A0D98"/>
    <w:sectPr w:rsidR="006A0D98" w:rsidSect="003367D1">
      <w:pgSz w:w="11906" w:h="16838"/>
      <w:pgMar w:top="840" w:right="746" w:bottom="162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9"/>
    <w:rsid w:val="006A0D98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A94D"/>
  <w15:chartTrackingRefBased/>
  <w15:docId w15:val="{2154A3C1-A478-4E9F-8115-C8BBC58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2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Adediran Goodness</dc:creator>
  <cp:keywords/>
  <dc:description/>
  <cp:lastModifiedBy>Adediran Goodness</cp:lastModifiedBy>
  <cp:revision>1</cp:revision>
  <dcterms:created xsi:type="dcterms:W3CDTF">2022-05-31T07:37:00Z</dcterms:created>
  <dcterms:modified xsi:type="dcterms:W3CDTF">2022-05-31T07:38:00Z</dcterms:modified>
</cp:coreProperties>
</file>